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23 72/07 vom 11. Januar 2024</w:t>
      </w:r>
    </w:p>
    <w:p>
      <w:r>
        <w:t>BL Gerichte, 2024-01-11, DE</w:t>
      </w:r>
    </w:p>
    <w:p>
      <w:r>
        <w:rPr>
          <w:b/>
        </w:rPr>
        <w:t xml:space="preserve">Quelle: </w:t>
      </w:r>
      <w:r>
        <w:t>https://mcp.opencaselaw.ch/entscheid/bl_gerichte_720 23 72_07</w:t>
      </w:r>
    </w:p>
    <w:p>
      <w:r>
        <w:t>FR: BL_GERICHTE 720 23 72/07 du 11 janvier 2024</w:t>
      </w:r>
    </w:p>
    <w:p>
      <w:r>
        <w:t>IT: BL_GERICHTE 720 23 72/07 del 11 gennaio 2024</w:t>
      </w:r>
    </w:p>
    <w:p>
      <w:pPr>
        <w:pStyle w:val="Heading2"/>
      </w:pPr>
      <w:r>
        <w:t>Regeste</w:t>
      </w:r>
    </w:p>
    <w:p>
      <w:r>
        <w:t>Beurteilung eines Rentenanspruchs einer versicherten Person, bei welcher eine kombinierte Persönlichkeitsstörung mit einem verwaltungsexternen Gutachten nicht nachgewiesen werden konnte.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im Übrigen frist- und formgerecht erhobene Beschwerde der Versicherten vom 1. März 2023 ist demnach einzutreten.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der Beschwerdeführerin ein reduziertes Honorar in der Höhe von Fr. 3'107.60 (inkl. Auslagen und 7,7 %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